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D5185" w14:textId="77777777" w:rsidR="00B20A50" w:rsidRPr="00575440" w:rsidRDefault="00575440" w:rsidP="00406E46">
      <w:pPr>
        <w:jc w:val="left"/>
        <w:rPr>
          <w:rFonts w:asciiTheme="majorHAnsi" w:hAnsiTheme="majorHAnsi"/>
          <w:b/>
          <w:i/>
          <w:color w:val="365F91" w:themeColor="accent1" w:themeShade="BF"/>
        </w:rPr>
      </w:pPr>
      <w:r w:rsidRPr="00575440">
        <w:rPr>
          <w:rFonts w:asciiTheme="majorHAnsi" w:hAnsiTheme="majorHAnsi"/>
          <w:b/>
          <w:i/>
          <w:color w:val="365F91" w:themeColor="accent1" w:themeShade="BF"/>
        </w:rPr>
        <w:t>Nom</w:t>
      </w:r>
      <w:r w:rsidR="00406E46" w:rsidRPr="00575440">
        <w:rPr>
          <w:rFonts w:asciiTheme="majorHAnsi" w:hAnsiTheme="majorHAnsi"/>
          <w:b/>
          <w:i/>
          <w:color w:val="365F91" w:themeColor="accent1" w:themeShade="BF"/>
        </w:rPr>
        <w:br/>
      </w:r>
      <w:r w:rsidRPr="00575440">
        <w:rPr>
          <w:rFonts w:asciiTheme="majorHAnsi" w:hAnsiTheme="majorHAnsi"/>
          <w:b/>
          <w:i/>
          <w:color w:val="365F91" w:themeColor="accent1" w:themeShade="BF"/>
        </w:rPr>
        <w:t>Adresse</w:t>
      </w:r>
      <w:r w:rsidR="00406E46" w:rsidRPr="00575440">
        <w:rPr>
          <w:rFonts w:asciiTheme="majorHAnsi" w:hAnsiTheme="majorHAnsi"/>
          <w:b/>
          <w:i/>
          <w:color w:val="365F91" w:themeColor="accent1" w:themeShade="BF"/>
        </w:rPr>
        <w:br/>
      </w:r>
      <w:r w:rsidRPr="00575440">
        <w:rPr>
          <w:rFonts w:asciiTheme="majorHAnsi" w:hAnsiTheme="majorHAnsi"/>
          <w:b/>
          <w:i/>
          <w:color w:val="365F91" w:themeColor="accent1" w:themeShade="BF"/>
        </w:rPr>
        <w:t>CP</w:t>
      </w:r>
      <w:r w:rsidR="00406E46" w:rsidRPr="00575440">
        <w:rPr>
          <w:rFonts w:asciiTheme="majorHAnsi" w:hAnsiTheme="majorHAnsi"/>
          <w:b/>
          <w:i/>
          <w:color w:val="365F91" w:themeColor="accent1" w:themeShade="BF"/>
        </w:rPr>
        <w:t xml:space="preserve"> </w:t>
      </w:r>
      <w:r w:rsidRPr="00575440">
        <w:rPr>
          <w:rFonts w:asciiTheme="majorHAnsi" w:hAnsiTheme="majorHAnsi"/>
          <w:b/>
          <w:i/>
          <w:color w:val="365F91" w:themeColor="accent1" w:themeShade="BF"/>
        </w:rPr>
        <w:t>Ville</w:t>
      </w:r>
    </w:p>
    <w:p w14:paraId="1ACD2F50" w14:textId="77777777" w:rsidR="009D00CE" w:rsidRPr="00D40831" w:rsidRDefault="009D00CE" w:rsidP="00653F0F">
      <w:pPr>
        <w:ind w:left="4536"/>
        <w:rPr>
          <w:rFonts w:asciiTheme="majorHAnsi" w:hAnsiTheme="majorHAnsi"/>
          <w:caps/>
          <w:szCs w:val="22"/>
        </w:rPr>
      </w:pPr>
      <w:r w:rsidRPr="00D40831">
        <w:rPr>
          <w:rFonts w:asciiTheme="majorHAnsi" w:hAnsiTheme="majorHAnsi"/>
          <w:caps/>
          <w:szCs w:val="22"/>
        </w:rPr>
        <w:t>Enedis</w:t>
      </w:r>
    </w:p>
    <w:p w14:paraId="4C9CDB4A" w14:textId="77777777" w:rsidR="009D00CE" w:rsidRPr="00D40831" w:rsidRDefault="009D00CE" w:rsidP="00653F0F">
      <w:pPr>
        <w:ind w:left="4536"/>
        <w:rPr>
          <w:rFonts w:asciiTheme="majorHAnsi" w:hAnsiTheme="majorHAnsi"/>
          <w:szCs w:val="22"/>
        </w:rPr>
      </w:pPr>
      <w:r w:rsidRPr="00D40831">
        <w:rPr>
          <w:rFonts w:asciiTheme="majorHAnsi" w:hAnsiTheme="majorHAnsi"/>
          <w:szCs w:val="22"/>
        </w:rPr>
        <w:t xml:space="preserve">Tour </w:t>
      </w:r>
      <w:r w:rsidRPr="00D40831">
        <w:rPr>
          <w:rFonts w:asciiTheme="majorHAnsi" w:hAnsiTheme="majorHAnsi"/>
          <w:caps/>
          <w:szCs w:val="22"/>
        </w:rPr>
        <w:t>Enedis</w:t>
      </w:r>
      <w:r w:rsidRPr="00D40831">
        <w:rPr>
          <w:rFonts w:asciiTheme="majorHAnsi" w:hAnsiTheme="majorHAnsi"/>
          <w:szCs w:val="22"/>
        </w:rPr>
        <w:t xml:space="preserve"> – 34 place des Corolles</w:t>
      </w:r>
    </w:p>
    <w:p w14:paraId="38958DCF" w14:textId="77777777" w:rsidR="009D00CE" w:rsidRPr="00D40831" w:rsidRDefault="009D00CE" w:rsidP="00653F0F">
      <w:pPr>
        <w:ind w:left="4536"/>
        <w:rPr>
          <w:rFonts w:asciiTheme="majorHAnsi" w:hAnsiTheme="majorHAnsi"/>
          <w:szCs w:val="22"/>
        </w:rPr>
      </w:pPr>
      <w:r w:rsidRPr="00D40831">
        <w:rPr>
          <w:rFonts w:asciiTheme="majorHAnsi" w:hAnsiTheme="majorHAnsi"/>
          <w:szCs w:val="22"/>
        </w:rPr>
        <w:t>92079 Paris La Défense Cedex</w:t>
      </w:r>
    </w:p>
    <w:p w14:paraId="5C6E1590" w14:textId="6F3863D3" w:rsidR="009D00CE" w:rsidRPr="00D40831" w:rsidRDefault="00D33DCD" w:rsidP="00653F0F">
      <w:pPr>
        <w:ind w:left="4536"/>
        <w:rPr>
          <w:rFonts w:asciiTheme="majorHAnsi" w:hAnsiTheme="majorHAnsi"/>
          <w:szCs w:val="22"/>
        </w:rPr>
      </w:pPr>
      <w:proofErr w:type="spellStart"/>
      <w:r w:rsidRPr="00D40831">
        <w:rPr>
          <w:rFonts w:asciiTheme="majorHAnsi" w:hAnsiTheme="majorHAnsi"/>
          <w:szCs w:val="22"/>
        </w:rPr>
        <w:t>A</w:t>
      </w:r>
      <w:proofErr w:type="spellEnd"/>
      <w:r w:rsidRPr="00D40831">
        <w:rPr>
          <w:rFonts w:asciiTheme="majorHAnsi" w:hAnsiTheme="majorHAnsi"/>
          <w:szCs w:val="22"/>
        </w:rPr>
        <w:t xml:space="preserve"> l’attention de M</w:t>
      </w:r>
      <w:r w:rsidR="006C5E08">
        <w:rPr>
          <w:rFonts w:asciiTheme="majorHAnsi" w:hAnsiTheme="majorHAnsi"/>
          <w:szCs w:val="22"/>
        </w:rPr>
        <w:t>adame</w:t>
      </w:r>
      <w:r w:rsidR="00BE24F4" w:rsidRPr="00D40831">
        <w:rPr>
          <w:rFonts w:asciiTheme="majorHAnsi" w:hAnsiTheme="majorHAnsi"/>
          <w:szCs w:val="22"/>
        </w:rPr>
        <w:t xml:space="preserve"> </w:t>
      </w:r>
      <w:r w:rsidR="006C5E08" w:rsidRPr="006C5E08">
        <w:rPr>
          <w:rFonts w:asciiTheme="majorHAnsi" w:hAnsiTheme="majorHAnsi"/>
          <w:szCs w:val="22"/>
        </w:rPr>
        <w:t>Marianne Laigneau</w:t>
      </w:r>
      <w:r w:rsidR="00BE24F4" w:rsidRPr="00D40831">
        <w:rPr>
          <w:rFonts w:asciiTheme="majorHAnsi" w:hAnsiTheme="majorHAnsi"/>
          <w:szCs w:val="22"/>
        </w:rPr>
        <w:t>, Président</w:t>
      </w:r>
      <w:r w:rsidR="006C5E08">
        <w:rPr>
          <w:rFonts w:asciiTheme="majorHAnsi" w:hAnsiTheme="majorHAnsi"/>
          <w:szCs w:val="22"/>
        </w:rPr>
        <w:t>e</w:t>
      </w:r>
      <w:r w:rsidR="00BE24F4" w:rsidRPr="00D40831">
        <w:rPr>
          <w:rFonts w:asciiTheme="majorHAnsi" w:hAnsiTheme="majorHAnsi"/>
          <w:szCs w:val="22"/>
        </w:rPr>
        <w:t xml:space="preserve"> du Directoire </w:t>
      </w:r>
    </w:p>
    <w:p w14:paraId="063E2D94" w14:textId="77777777" w:rsidR="009D00CE" w:rsidRPr="00D40831" w:rsidRDefault="009D00CE" w:rsidP="00653F0F">
      <w:pPr>
        <w:ind w:left="4536"/>
        <w:rPr>
          <w:rFonts w:asciiTheme="majorHAnsi" w:hAnsiTheme="majorHAnsi"/>
          <w:szCs w:val="22"/>
        </w:rPr>
      </w:pPr>
    </w:p>
    <w:p w14:paraId="1A672856" w14:textId="77777777" w:rsidR="009D00CE" w:rsidRPr="00575440" w:rsidRDefault="00575440" w:rsidP="00653F0F">
      <w:pPr>
        <w:ind w:left="4536"/>
        <w:rPr>
          <w:rFonts w:asciiTheme="majorHAnsi" w:hAnsiTheme="majorHAnsi"/>
          <w:b/>
          <w:i/>
          <w:color w:val="365F91" w:themeColor="accent1" w:themeShade="BF"/>
          <w:szCs w:val="22"/>
        </w:rPr>
      </w:pPr>
      <w:r w:rsidRPr="00575440">
        <w:rPr>
          <w:rFonts w:asciiTheme="majorHAnsi" w:hAnsiTheme="majorHAnsi"/>
          <w:b/>
          <w:i/>
          <w:color w:val="365F91" w:themeColor="accent1" w:themeShade="BF"/>
          <w:szCs w:val="22"/>
        </w:rPr>
        <w:t>Ville</w:t>
      </w:r>
      <w:r w:rsidR="009D00CE" w:rsidRPr="00575440">
        <w:rPr>
          <w:rFonts w:asciiTheme="majorHAnsi" w:hAnsiTheme="majorHAnsi"/>
          <w:b/>
          <w:i/>
          <w:color w:val="365F91" w:themeColor="accent1" w:themeShade="BF"/>
          <w:szCs w:val="22"/>
        </w:rPr>
        <w:t xml:space="preserve">, </w:t>
      </w:r>
      <w:r w:rsidRPr="00575440">
        <w:rPr>
          <w:rFonts w:asciiTheme="majorHAnsi" w:hAnsiTheme="majorHAnsi"/>
          <w:b/>
          <w:i/>
          <w:color w:val="365F91" w:themeColor="accent1" w:themeShade="BF"/>
          <w:szCs w:val="22"/>
        </w:rPr>
        <w:t>date</w:t>
      </w:r>
      <w:bookmarkStart w:id="0" w:name="_GoBack"/>
      <w:bookmarkEnd w:id="0"/>
    </w:p>
    <w:p w14:paraId="02832D1C" w14:textId="77777777" w:rsidR="009D00CE" w:rsidRPr="00D40831" w:rsidRDefault="009D00CE" w:rsidP="00406E46">
      <w:pPr>
        <w:rPr>
          <w:rFonts w:asciiTheme="majorHAnsi" w:eastAsiaTheme="minorHAnsi" w:hAnsiTheme="majorHAnsi" w:cs="TimesNewRomanPSMT"/>
          <w:szCs w:val="22"/>
          <w:lang w:eastAsia="en-US"/>
        </w:rPr>
      </w:pPr>
    </w:p>
    <w:p w14:paraId="7D6631AE" w14:textId="77777777" w:rsidR="00B20A50" w:rsidRPr="00D40831" w:rsidRDefault="00406E46" w:rsidP="00406E46">
      <w:pPr>
        <w:rPr>
          <w:rFonts w:asciiTheme="majorHAnsi" w:hAnsiTheme="majorHAnsi"/>
          <w:b/>
          <w:i/>
          <w:sz w:val="28"/>
          <w:szCs w:val="28"/>
        </w:rPr>
      </w:pPr>
      <w:r w:rsidRPr="00D40831">
        <w:rPr>
          <w:rFonts w:asciiTheme="majorHAnsi" w:hAnsiTheme="majorHAnsi"/>
          <w:b/>
          <w:i/>
          <w:sz w:val="28"/>
          <w:szCs w:val="28"/>
        </w:rPr>
        <w:t>LRAR</w:t>
      </w:r>
    </w:p>
    <w:p w14:paraId="548CEE5A" w14:textId="77777777" w:rsidR="00B20A50" w:rsidRPr="00D40831" w:rsidRDefault="00B20A50" w:rsidP="00406E46">
      <w:pPr>
        <w:rPr>
          <w:rFonts w:asciiTheme="majorHAnsi" w:hAnsiTheme="majorHAnsi"/>
          <w:szCs w:val="22"/>
          <w:u w:val="single"/>
        </w:rPr>
      </w:pPr>
    </w:p>
    <w:p w14:paraId="3DA0D321" w14:textId="77777777" w:rsidR="001D5478" w:rsidRPr="00D40831" w:rsidRDefault="001D5478" w:rsidP="00406E46">
      <w:pPr>
        <w:rPr>
          <w:rFonts w:asciiTheme="majorHAnsi" w:hAnsiTheme="majorHAnsi"/>
          <w:i/>
          <w:szCs w:val="22"/>
        </w:rPr>
      </w:pPr>
      <w:r w:rsidRPr="00D40831">
        <w:rPr>
          <w:rFonts w:asciiTheme="majorHAnsi" w:hAnsiTheme="majorHAnsi"/>
          <w:i/>
          <w:szCs w:val="22"/>
          <w:u w:val="single"/>
        </w:rPr>
        <w:t>Objet :</w:t>
      </w:r>
      <w:r w:rsidRPr="00D40831">
        <w:rPr>
          <w:rFonts w:asciiTheme="majorHAnsi" w:hAnsiTheme="majorHAnsi"/>
          <w:i/>
          <w:szCs w:val="22"/>
        </w:rPr>
        <w:t xml:space="preserve"> Mise en demeure – refus du compteur « Linky »</w:t>
      </w:r>
    </w:p>
    <w:p w14:paraId="5DD06A0F" w14:textId="77777777" w:rsidR="001D5478" w:rsidRPr="00D40831" w:rsidRDefault="001D5478" w:rsidP="00406E46">
      <w:pPr>
        <w:rPr>
          <w:rFonts w:asciiTheme="majorHAnsi" w:eastAsiaTheme="minorHAnsi" w:hAnsiTheme="majorHAnsi" w:cs="TimesNewRomanPSMT"/>
          <w:szCs w:val="22"/>
          <w:lang w:eastAsia="en-US"/>
        </w:rPr>
      </w:pPr>
    </w:p>
    <w:p w14:paraId="1F81AFD2" w14:textId="77777777" w:rsidR="001D5478" w:rsidRPr="00D40831" w:rsidRDefault="001D5478" w:rsidP="00406E46">
      <w:pPr>
        <w:rPr>
          <w:rFonts w:asciiTheme="majorHAnsi" w:eastAsiaTheme="minorHAnsi" w:hAnsiTheme="majorHAnsi" w:cs="TimesNewRomanPSMT"/>
          <w:szCs w:val="22"/>
          <w:lang w:eastAsia="en-US"/>
        </w:rPr>
      </w:pPr>
    </w:p>
    <w:p w14:paraId="4D42D41E" w14:textId="77777777" w:rsidR="001D4CBA" w:rsidRPr="00D40831" w:rsidRDefault="001D4CBA" w:rsidP="00406E46">
      <w:pPr>
        <w:rPr>
          <w:rFonts w:asciiTheme="majorHAnsi" w:eastAsiaTheme="minorHAnsi" w:hAnsiTheme="majorHAnsi" w:cs="TimesNewRomanPSMT"/>
          <w:szCs w:val="22"/>
          <w:lang w:eastAsia="en-US"/>
        </w:rPr>
      </w:pPr>
      <w:r w:rsidRPr="00D40831">
        <w:rPr>
          <w:rFonts w:asciiTheme="majorHAnsi" w:eastAsiaTheme="minorHAnsi" w:hAnsiTheme="majorHAnsi" w:cs="TimesNewRomanPSMT"/>
          <w:szCs w:val="22"/>
          <w:lang w:eastAsia="en-US"/>
        </w:rPr>
        <w:t>Monsieur le Président,</w:t>
      </w:r>
    </w:p>
    <w:p w14:paraId="17D07205" w14:textId="77777777" w:rsidR="009D00CE" w:rsidRPr="00D40831" w:rsidRDefault="009D00CE" w:rsidP="00406E46">
      <w:pPr>
        <w:rPr>
          <w:rFonts w:asciiTheme="majorHAnsi" w:eastAsiaTheme="minorHAnsi" w:hAnsiTheme="majorHAnsi" w:cs="TimesNewRomanPSMT"/>
          <w:szCs w:val="22"/>
          <w:lang w:eastAsia="en-US"/>
        </w:rPr>
      </w:pPr>
    </w:p>
    <w:p w14:paraId="32B2EB9B" w14:textId="77777777" w:rsidR="001D4CBA" w:rsidRPr="00D40831" w:rsidRDefault="001D4CBA" w:rsidP="00406E46">
      <w:pPr>
        <w:rPr>
          <w:rFonts w:asciiTheme="majorHAnsi" w:hAnsiTheme="majorHAnsi"/>
          <w:szCs w:val="22"/>
        </w:rPr>
      </w:pPr>
      <w:r w:rsidRPr="00D40831">
        <w:rPr>
          <w:rFonts w:asciiTheme="majorHAnsi" w:hAnsiTheme="majorHAnsi"/>
          <w:szCs w:val="22"/>
        </w:rPr>
        <w:t>Je me permets de vous solliciter au sujet de votre projet de remplacement du compteur électrique auquel mon installation électrique est raccordée (PDL n°</w:t>
      </w:r>
      <w:r w:rsidR="001B0D62" w:rsidRPr="00D40831">
        <w:t xml:space="preserve"> </w:t>
      </w:r>
      <w:r w:rsidR="00575440" w:rsidRPr="00575440">
        <w:rPr>
          <w:rFonts w:asciiTheme="majorHAnsi" w:hAnsiTheme="majorHAnsi"/>
          <w:color w:val="365F91" w:themeColor="accent1" w:themeShade="BF"/>
        </w:rPr>
        <w:t>………………</w:t>
      </w:r>
      <w:proofErr w:type="gramStart"/>
      <w:r w:rsidR="00575440" w:rsidRPr="00575440">
        <w:rPr>
          <w:rFonts w:asciiTheme="majorHAnsi" w:hAnsiTheme="majorHAnsi"/>
          <w:color w:val="365F91" w:themeColor="accent1" w:themeShade="BF"/>
        </w:rPr>
        <w:t>…….</w:t>
      </w:r>
      <w:proofErr w:type="gramEnd"/>
      <w:r w:rsidR="00575440" w:rsidRPr="00575440">
        <w:rPr>
          <w:rFonts w:asciiTheme="majorHAnsi" w:hAnsiTheme="majorHAnsi"/>
          <w:color w:val="365F91" w:themeColor="accent1" w:themeShade="BF"/>
        </w:rPr>
        <w:t>.</w:t>
      </w:r>
      <w:r w:rsidRPr="00D40831">
        <w:rPr>
          <w:rFonts w:asciiTheme="majorHAnsi" w:hAnsiTheme="majorHAnsi"/>
          <w:szCs w:val="22"/>
        </w:rPr>
        <w:t>,</w:t>
      </w:r>
      <w:r w:rsidR="001B0D62" w:rsidRPr="00D40831">
        <w:rPr>
          <w:rFonts w:asciiTheme="majorHAnsi" w:hAnsiTheme="majorHAnsi"/>
          <w:szCs w:val="22"/>
        </w:rPr>
        <w:t xml:space="preserve"> compteur </w:t>
      </w:r>
      <w:r w:rsidR="00575440" w:rsidRPr="00575440">
        <w:rPr>
          <w:rFonts w:asciiTheme="majorHAnsi" w:hAnsiTheme="majorHAnsi"/>
          <w:color w:val="365F91" w:themeColor="accent1" w:themeShade="BF"/>
          <w:szCs w:val="22"/>
        </w:rPr>
        <w:t>…</w:t>
      </w:r>
      <w:r w:rsidRPr="00D40831">
        <w:rPr>
          <w:rFonts w:asciiTheme="majorHAnsi" w:hAnsiTheme="majorHAnsi"/>
          <w:szCs w:val="22"/>
        </w:rPr>
        <w:t>) par un compteur communicant de type « Linky ».</w:t>
      </w:r>
    </w:p>
    <w:p w14:paraId="15055F38" w14:textId="77777777" w:rsidR="001D4CBA" w:rsidRPr="00D40831" w:rsidRDefault="001D4CBA" w:rsidP="00406E46">
      <w:pPr>
        <w:rPr>
          <w:rFonts w:asciiTheme="majorHAnsi" w:eastAsiaTheme="minorHAnsi" w:hAnsiTheme="majorHAnsi" w:cs="TimesNewRomanPSMT"/>
          <w:szCs w:val="22"/>
          <w:lang w:eastAsia="en-US"/>
        </w:rPr>
      </w:pPr>
    </w:p>
    <w:p w14:paraId="0A22ACE1" w14:textId="77777777" w:rsidR="001D4CBA" w:rsidRPr="00D40831" w:rsidRDefault="00D33DCD" w:rsidP="00406E46">
      <w:pPr>
        <w:rPr>
          <w:rFonts w:asciiTheme="majorHAnsi" w:eastAsiaTheme="minorHAnsi" w:hAnsiTheme="majorHAnsi" w:cs="TimesNewRomanPSMT"/>
          <w:szCs w:val="22"/>
          <w:lang w:eastAsia="en-US"/>
        </w:rPr>
      </w:pPr>
      <w:r w:rsidRPr="00D40831">
        <w:rPr>
          <w:rFonts w:asciiTheme="majorHAnsi" w:eastAsiaTheme="minorHAnsi" w:hAnsiTheme="majorHAnsi" w:cs="TimesNewRomanPSMT"/>
          <w:szCs w:val="22"/>
          <w:lang w:eastAsia="en-US"/>
        </w:rPr>
        <w:t xml:space="preserve">En </w:t>
      </w:r>
      <w:proofErr w:type="gramStart"/>
      <w:r w:rsidRPr="00D40831">
        <w:rPr>
          <w:rFonts w:asciiTheme="majorHAnsi" w:eastAsiaTheme="minorHAnsi" w:hAnsiTheme="majorHAnsi" w:cs="TimesNewRomanPSMT"/>
          <w:szCs w:val="22"/>
          <w:lang w:eastAsia="en-US"/>
        </w:rPr>
        <w:t xml:space="preserve">effet </w:t>
      </w:r>
      <w:r w:rsidR="001D4CBA" w:rsidRPr="00D40831">
        <w:rPr>
          <w:rFonts w:asciiTheme="majorHAnsi" w:eastAsiaTheme="minorHAnsi" w:hAnsiTheme="majorHAnsi" w:cs="TimesNewRomanPSMT"/>
          <w:szCs w:val="22"/>
          <w:lang w:eastAsia="en-US"/>
        </w:rPr>
        <w:t xml:space="preserve"> il</w:t>
      </w:r>
      <w:proofErr w:type="gramEnd"/>
      <w:r w:rsidR="001D4CBA" w:rsidRPr="00D40831">
        <w:rPr>
          <w:rFonts w:asciiTheme="majorHAnsi" w:eastAsiaTheme="minorHAnsi" w:hAnsiTheme="majorHAnsi" w:cs="TimesNewRomanPSMT"/>
          <w:szCs w:val="22"/>
          <w:lang w:eastAsia="en-US"/>
        </w:rPr>
        <w:t xml:space="preserve"> résulte de l’article L 322-4 du code de l’énergie que :</w:t>
      </w:r>
    </w:p>
    <w:p w14:paraId="6F4EFCCA" w14:textId="77777777" w:rsidR="001D5478" w:rsidRPr="00D40831" w:rsidRDefault="001D4CBA" w:rsidP="00406E46">
      <w:pPr>
        <w:rPr>
          <w:rFonts w:asciiTheme="majorHAnsi" w:eastAsiaTheme="minorHAnsi" w:hAnsiTheme="majorHAnsi" w:cs="TimesNewRomanPS-ItalicMT"/>
          <w:i/>
          <w:iCs/>
          <w:szCs w:val="22"/>
          <w:lang w:eastAsia="en-US"/>
        </w:rPr>
      </w:pPr>
      <w:r w:rsidRPr="00D40831">
        <w:rPr>
          <w:rFonts w:asciiTheme="majorHAnsi" w:eastAsiaTheme="minorHAnsi" w:hAnsiTheme="majorHAnsi" w:cs="TimesNewRomanPS-ItalicMT"/>
          <w:i/>
          <w:iCs/>
          <w:szCs w:val="22"/>
          <w:lang w:eastAsia="en-US"/>
        </w:rPr>
        <w:t>« Sous réserve des dispositions de l’article L. 324-1, les ouvrages des rés</w:t>
      </w:r>
      <w:r w:rsidR="001D5478" w:rsidRPr="00D40831">
        <w:rPr>
          <w:rFonts w:asciiTheme="majorHAnsi" w:eastAsiaTheme="minorHAnsi" w:hAnsiTheme="majorHAnsi" w:cs="TimesNewRomanPS-ItalicMT"/>
          <w:i/>
          <w:iCs/>
          <w:szCs w:val="22"/>
          <w:lang w:eastAsia="en-US"/>
        </w:rPr>
        <w:t xml:space="preserve">eaux publics de distribution, y </w:t>
      </w:r>
      <w:r w:rsidRPr="00D40831">
        <w:rPr>
          <w:rFonts w:asciiTheme="majorHAnsi" w:eastAsiaTheme="minorHAnsi" w:hAnsiTheme="majorHAnsi" w:cs="TimesNewRomanPS-ItalicMT"/>
          <w:i/>
          <w:iCs/>
          <w:szCs w:val="22"/>
          <w:lang w:eastAsia="en-US"/>
        </w:rPr>
        <w:t xml:space="preserve">compris ceux qui, ayant appartenu à </w:t>
      </w:r>
      <w:proofErr w:type="spellStart"/>
      <w:r w:rsidRPr="00D40831">
        <w:rPr>
          <w:rFonts w:asciiTheme="majorHAnsi" w:eastAsiaTheme="minorHAnsi" w:hAnsiTheme="majorHAnsi" w:cs="TimesNewRomanPS-ItalicMT"/>
          <w:i/>
          <w:iCs/>
          <w:szCs w:val="22"/>
          <w:lang w:eastAsia="en-US"/>
        </w:rPr>
        <w:t>Electricité</w:t>
      </w:r>
      <w:proofErr w:type="spellEnd"/>
      <w:r w:rsidRPr="00D40831">
        <w:rPr>
          <w:rFonts w:asciiTheme="majorHAnsi" w:eastAsiaTheme="minorHAnsi" w:hAnsiTheme="majorHAnsi" w:cs="TimesNewRomanPS-ItalicMT"/>
          <w:i/>
          <w:iCs/>
          <w:szCs w:val="22"/>
          <w:lang w:eastAsia="en-US"/>
        </w:rPr>
        <w:t xml:space="preserve"> de France, ont fait l'obje</w:t>
      </w:r>
      <w:r w:rsidR="001D5478" w:rsidRPr="00D40831">
        <w:rPr>
          <w:rFonts w:asciiTheme="majorHAnsi" w:eastAsiaTheme="minorHAnsi" w:hAnsiTheme="majorHAnsi" w:cs="TimesNewRomanPS-ItalicMT"/>
          <w:i/>
          <w:iCs/>
          <w:szCs w:val="22"/>
          <w:lang w:eastAsia="en-US"/>
        </w:rPr>
        <w:t xml:space="preserve">t d'un transfert au 1er janvier </w:t>
      </w:r>
      <w:r w:rsidRPr="00D40831">
        <w:rPr>
          <w:rFonts w:asciiTheme="majorHAnsi" w:eastAsiaTheme="minorHAnsi" w:hAnsiTheme="majorHAnsi" w:cs="TimesNewRomanPS-ItalicMT"/>
          <w:i/>
          <w:iCs/>
          <w:szCs w:val="22"/>
          <w:lang w:eastAsia="en-US"/>
        </w:rPr>
        <w:t>2005, appartiennent aux collectivités territoriales ou à leurs groupements désignés au IV de l’</w:t>
      </w:r>
      <w:r w:rsidR="001D5478" w:rsidRPr="00D40831">
        <w:rPr>
          <w:rFonts w:asciiTheme="majorHAnsi" w:eastAsiaTheme="minorHAnsi" w:hAnsiTheme="majorHAnsi" w:cs="TimesNewRomanPS-ItalicMT"/>
          <w:i/>
          <w:iCs/>
          <w:szCs w:val="22"/>
          <w:lang w:eastAsia="en-US"/>
        </w:rPr>
        <w:t xml:space="preserve">article L. </w:t>
      </w:r>
      <w:r w:rsidRPr="00D40831">
        <w:rPr>
          <w:rFonts w:asciiTheme="majorHAnsi" w:eastAsiaTheme="minorHAnsi" w:hAnsiTheme="majorHAnsi" w:cs="TimesNewRomanPS-ItalicMT"/>
          <w:i/>
          <w:iCs/>
          <w:szCs w:val="22"/>
          <w:lang w:eastAsia="en-US"/>
        </w:rPr>
        <w:t>2224-31 du code général des collectivités territoriales.</w:t>
      </w:r>
    </w:p>
    <w:p w14:paraId="4444D568" w14:textId="77777777" w:rsidR="001D5478" w:rsidRPr="00D40831" w:rsidRDefault="001D4CBA" w:rsidP="00406E46">
      <w:pPr>
        <w:rPr>
          <w:rFonts w:asciiTheme="majorHAnsi" w:eastAsiaTheme="minorHAnsi" w:hAnsiTheme="majorHAnsi" w:cs="TimesNewRomanPS-ItalicMT"/>
          <w:i/>
          <w:iCs/>
          <w:szCs w:val="22"/>
          <w:lang w:eastAsia="en-US"/>
        </w:rPr>
      </w:pPr>
      <w:r w:rsidRPr="00D40831">
        <w:rPr>
          <w:rFonts w:asciiTheme="majorHAnsi" w:eastAsiaTheme="minorHAnsi" w:hAnsiTheme="majorHAnsi" w:cs="TimesNewRomanPS-ItalicMT"/>
          <w:i/>
          <w:iCs/>
          <w:szCs w:val="22"/>
          <w:lang w:eastAsia="en-US"/>
        </w:rPr>
        <w:t>Toutefois, la société gestionnaire du réseau public de distribution, issue de la</w:t>
      </w:r>
      <w:r w:rsidR="001D5478" w:rsidRPr="00D40831">
        <w:rPr>
          <w:rFonts w:asciiTheme="majorHAnsi" w:eastAsiaTheme="minorHAnsi" w:hAnsiTheme="majorHAnsi" w:cs="TimesNewRomanPS-ItalicMT"/>
          <w:i/>
          <w:iCs/>
          <w:szCs w:val="22"/>
          <w:lang w:eastAsia="en-US"/>
        </w:rPr>
        <w:t xml:space="preserve"> séparation juridique </w:t>
      </w:r>
      <w:r w:rsidRPr="00D40831">
        <w:rPr>
          <w:rFonts w:asciiTheme="majorHAnsi" w:eastAsiaTheme="minorHAnsi" w:hAnsiTheme="majorHAnsi" w:cs="TimesNewRomanPS-ItalicMT"/>
          <w:i/>
          <w:iCs/>
          <w:szCs w:val="22"/>
          <w:lang w:eastAsia="en-US"/>
        </w:rPr>
        <w:t xml:space="preserve">imposée à </w:t>
      </w:r>
      <w:proofErr w:type="spellStart"/>
      <w:r w:rsidRPr="00D40831">
        <w:rPr>
          <w:rFonts w:asciiTheme="majorHAnsi" w:eastAsiaTheme="minorHAnsi" w:hAnsiTheme="majorHAnsi" w:cs="TimesNewRomanPS-ItalicMT"/>
          <w:i/>
          <w:iCs/>
          <w:szCs w:val="22"/>
          <w:lang w:eastAsia="en-US"/>
        </w:rPr>
        <w:t>Electricité</w:t>
      </w:r>
      <w:proofErr w:type="spellEnd"/>
      <w:r w:rsidRPr="00D40831">
        <w:rPr>
          <w:rFonts w:asciiTheme="majorHAnsi" w:eastAsiaTheme="minorHAnsi" w:hAnsiTheme="majorHAnsi" w:cs="TimesNewRomanPS-ItalicMT"/>
          <w:i/>
          <w:iCs/>
          <w:szCs w:val="22"/>
          <w:lang w:eastAsia="en-US"/>
        </w:rPr>
        <w:t xml:space="preserve"> de France par l’article L. 111-57, est propriétaire de la partie des post</w:t>
      </w:r>
      <w:r w:rsidR="001D5478" w:rsidRPr="00D40831">
        <w:rPr>
          <w:rFonts w:asciiTheme="majorHAnsi" w:eastAsiaTheme="minorHAnsi" w:hAnsiTheme="majorHAnsi" w:cs="TimesNewRomanPS-ItalicMT"/>
          <w:i/>
          <w:iCs/>
          <w:szCs w:val="22"/>
          <w:lang w:eastAsia="en-US"/>
        </w:rPr>
        <w:t xml:space="preserve">es de </w:t>
      </w:r>
      <w:r w:rsidRPr="00D40831">
        <w:rPr>
          <w:rFonts w:asciiTheme="majorHAnsi" w:eastAsiaTheme="minorHAnsi" w:hAnsiTheme="majorHAnsi" w:cs="TimesNewRomanPS-ItalicMT"/>
          <w:i/>
          <w:iCs/>
          <w:szCs w:val="22"/>
          <w:lang w:eastAsia="en-US"/>
        </w:rPr>
        <w:t>transformation du courant de haute ou très haute tension en moyenne tension qu'elle exploite ».</w:t>
      </w:r>
    </w:p>
    <w:p w14:paraId="1FBBD2B8" w14:textId="77777777" w:rsidR="001D5478" w:rsidRPr="00D40831" w:rsidRDefault="001D4CBA" w:rsidP="00406E46">
      <w:pPr>
        <w:rPr>
          <w:rFonts w:asciiTheme="majorHAnsi" w:eastAsiaTheme="minorHAnsi" w:hAnsiTheme="majorHAnsi" w:cs="TimesNewRomanPS-ItalicMT"/>
          <w:i/>
          <w:iCs/>
          <w:szCs w:val="22"/>
          <w:lang w:eastAsia="en-US"/>
        </w:rPr>
      </w:pPr>
      <w:r w:rsidRPr="00D40831">
        <w:rPr>
          <w:rFonts w:asciiTheme="majorHAnsi" w:eastAsiaTheme="minorHAnsi" w:hAnsiTheme="majorHAnsi" w:cs="TimesNewRomanPSMT"/>
          <w:szCs w:val="22"/>
          <w:lang w:eastAsia="en-US"/>
        </w:rPr>
        <w:t>Ce qui signifie que les compteurs (les anciens comme les nouvea</w:t>
      </w:r>
      <w:r w:rsidR="001D5478" w:rsidRPr="00D40831">
        <w:rPr>
          <w:rFonts w:asciiTheme="majorHAnsi" w:eastAsiaTheme="minorHAnsi" w:hAnsiTheme="majorHAnsi" w:cs="TimesNewRomanPSMT"/>
          <w:szCs w:val="22"/>
          <w:lang w:eastAsia="en-US"/>
        </w:rPr>
        <w:t xml:space="preserve">ux) appartiennent à la personne </w:t>
      </w:r>
      <w:r w:rsidRPr="00D40831">
        <w:rPr>
          <w:rFonts w:asciiTheme="majorHAnsi" w:eastAsiaTheme="minorHAnsi" w:hAnsiTheme="majorHAnsi" w:cs="TimesNewRomanPSMT"/>
          <w:szCs w:val="22"/>
          <w:lang w:eastAsia="en-US"/>
        </w:rPr>
        <w:t>publique concédante. Il faut préciser que cette propriété, d’origine lég</w:t>
      </w:r>
      <w:r w:rsidR="001D5478" w:rsidRPr="00D40831">
        <w:rPr>
          <w:rFonts w:asciiTheme="majorHAnsi" w:eastAsiaTheme="minorHAnsi" w:hAnsiTheme="majorHAnsi" w:cs="TimesNewRomanPSMT"/>
          <w:szCs w:val="22"/>
          <w:lang w:eastAsia="en-US"/>
        </w:rPr>
        <w:t xml:space="preserve">islative, ne peut pas vous être </w:t>
      </w:r>
      <w:r w:rsidRPr="00D40831">
        <w:rPr>
          <w:rFonts w:asciiTheme="majorHAnsi" w:eastAsiaTheme="minorHAnsi" w:hAnsiTheme="majorHAnsi" w:cs="TimesNewRomanPSMT"/>
          <w:szCs w:val="22"/>
          <w:lang w:eastAsia="en-US"/>
        </w:rPr>
        <w:t>transférée (Cour administrative d’appel de Nancy, 12 mai 2014, n° 13NC01303).</w:t>
      </w:r>
      <w:r w:rsidR="001D5478" w:rsidRPr="00D40831">
        <w:rPr>
          <w:rFonts w:asciiTheme="majorHAnsi" w:eastAsiaTheme="minorHAnsi" w:hAnsiTheme="majorHAnsi" w:cs="TimesNewRomanPS-ItalicMT"/>
          <w:i/>
          <w:iCs/>
          <w:szCs w:val="22"/>
          <w:lang w:eastAsia="en-US"/>
        </w:rPr>
        <w:t xml:space="preserve"> </w:t>
      </w:r>
    </w:p>
    <w:p w14:paraId="038FB1D1" w14:textId="77777777" w:rsidR="001D5478" w:rsidRPr="00D40831" w:rsidRDefault="001D4CBA" w:rsidP="00406E46">
      <w:pPr>
        <w:rPr>
          <w:rFonts w:asciiTheme="majorHAnsi" w:eastAsiaTheme="minorHAnsi" w:hAnsiTheme="majorHAnsi" w:cs="TimesNewRomanPS-ItalicMT"/>
          <w:i/>
          <w:iCs/>
          <w:szCs w:val="22"/>
          <w:lang w:eastAsia="en-US"/>
        </w:rPr>
      </w:pPr>
      <w:r w:rsidRPr="00D40831">
        <w:rPr>
          <w:rFonts w:asciiTheme="majorHAnsi" w:eastAsiaTheme="minorHAnsi" w:hAnsiTheme="majorHAnsi" w:cs="TimesNewRomanPSMT"/>
          <w:szCs w:val="22"/>
          <w:lang w:eastAsia="en-US"/>
        </w:rPr>
        <w:t>Dès lors, par la présente, je vous remercie de bien vouloir m’apporter la preuve de l’autorisation expresse que vous aur</w:t>
      </w:r>
      <w:r w:rsidR="0056030B">
        <w:rPr>
          <w:rFonts w:asciiTheme="majorHAnsi" w:eastAsiaTheme="minorHAnsi" w:hAnsiTheme="majorHAnsi" w:cs="TimesNewRomanPSMT"/>
          <w:szCs w:val="22"/>
          <w:lang w:eastAsia="en-US"/>
        </w:rPr>
        <w:t>ait</w:t>
      </w:r>
      <w:r w:rsidRPr="00D40831">
        <w:rPr>
          <w:rFonts w:asciiTheme="majorHAnsi" w:eastAsiaTheme="minorHAnsi" w:hAnsiTheme="majorHAnsi" w:cs="TimesNewRomanPSMT"/>
          <w:szCs w:val="22"/>
          <w:lang w:eastAsia="en-US"/>
        </w:rPr>
        <w:t xml:space="preserve"> </w:t>
      </w:r>
      <w:proofErr w:type="spellStart"/>
      <w:r w:rsidRPr="00D40831">
        <w:rPr>
          <w:rFonts w:asciiTheme="majorHAnsi" w:eastAsiaTheme="minorHAnsi" w:hAnsiTheme="majorHAnsi" w:cs="TimesNewRomanPSMT"/>
          <w:szCs w:val="22"/>
          <w:lang w:eastAsia="en-US"/>
        </w:rPr>
        <w:t>donnée</w:t>
      </w:r>
      <w:proofErr w:type="spellEnd"/>
      <w:r w:rsidRPr="00D40831">
        <w:rPr>
          <w:rFonts w:asciiTheme="majorHAnsi" w:eastAsiaTheme="minorHAnsi" w:hAnsiTheme="majorHAnsi" w:cs="TimesNewRomanPSMT"/>
          <w:szCs w:val="22"/>
          <w:lang w:eastAsia="en-US"/>
        </w:rPr>
        <w:t xml:space="preserve"> la personne publique concédan</w:t>
      </w:r>
      <w:r w:rsidR="001D5478" w:rsidRPr="00D40831">
        <w:rPr>
          <w:rFonts w:asciiTheme="majorHAnsi" w:eastAsiaTheme="minorHAnsi" w:hAnsiTheme="majorHAnsi" w:cs="TimesNewRomanPSMT"/>
          <w:szCs w:val="22"/>
          <w:lang w:eastAsia="en-US"/>
        </w:rPr>
        <w:t xml:space="preserve">te afin de pouvoir procéder aux </w:t>
      </w:r>
      <w:r w:rsidRPr="00D40831">
        <w:rPr>
          <w:rFonts w:asciiTheme="majorHAnsi" w:eastAsiaTheme="minorHAnsi" w:hAnsiTheme="majorHAnsi" w:cs="TimesNewRomanPSMT"/>
          <w:szCs w:val="22"/>
          <w:lang w:eastAsia="en-US"/>
        </w:rPr>
        <w:t>changements de ses compteurs.</w:t>
      </w:r>
      <w:r w:rsidR="001D5478" w:rsidRPr="00D40831">
        <w:rPr>
          <w:rFonts w:asciiTheme="majorHAnsi" w:eastAsiaTheme="minorHAnsi" w:hAnsiTheme="majorHAnsi" w:cs="TimesNewRomanPS-ItalicMT"/>
          <w:i/>
          <w:iCs/>
          <w:szCs w:val="22"/>
          <w:lang w:eastAsia="en-US"/>
        </w:rPr>
        <w:t xml:space="preserve"> </w:t>
      </w:r>
      <w:proofErr w:type="spellStart"/>
      <w:r w:rsidRPr="00D40831">
        <w:rPr>
          <w:rFonts w:asciiTheme="majorHAnsi" w:eastAsiaTheme="minorHAnsi" w:hAnsiTheme="majorHAnsi" w:cs="TimesNewRomanPSMT"/>
          <w:szCs w:val="22"/>
          <w:lang w:eastAsia="en-US"/>
        </w:rPr>
        <w:t>A</w:t>
      </w:r>
      <w:proofErr w:type="spellEnd"/>
      <w:r w:rsidRPr="00D40831">
        <w:rPr>
          <w:rFonts w:asciiTheme="majorHAnsi" w:eastAsiaTheme="minorHAnsi" w:hAnsiTheme="majorHAnsi" w:cs="TimesNewRomanPSMT"/>
          <w:szCs w:val="22"/>
          <w:lang w:eastAsia="en-US"/>
        </w:rPr>
        <w:t xml:space="preserve"> défaut de la production d’une telle preuve, vous comprendrez que je ne peu</w:t>
      </w:r>
      <w:r w:rsidR="001D5478" w:rsidRPr="00D40831">
        <w:rPr>
          <w:rFonts w:asciiTheme="majorHAnsi" w:eastAsiaTheme="minorHAnsi" w:hAnsiTheme="majorHAnsi" w:cs="TimesNewRomanPSMT"/>
          <w:szCs w:val="22"/>
          <w:lang w:eastAsia="en-US"/>
        </w:rPr>
        <w:t xml:space="preserve">x vous laisser procéder </w:t>
      </w:r>
      <w:r w:rsidRPr="00D40831">
        <w:rPr>
          <w:rFonts w:asciiTheme="majorHAnsi" w:eastAsiaTheme="minorHAnsi" w:hAnsiTheme="majorHAnsi" w:cs="TimesNewRomanPSMT"/>
          <w:szCs w:val="22"/>
          <w:lang w:eastAsia="en-US"/>
        </w:rPr>
        <w:t>à votre intervention sur un équipement qui ne vous appartient pas, sous peine d’engager ma responsabilité.</w:t>
      </w:r>
    </w:p>
    <w:p w14:paraId="3AA551A7" w14:textId="77777777" w:rsidR="001D4CBA" w:rsidRPr="00D40831" w:rsidRDefault="001D4CBA" w:rsidP="00406E46">
      <w:pPr>
        <w:rPr>
          <w:rFonts w:asciiTheme="majorHAnsi" w:eastAsiaTheme="minorHAnsi" w:hAnsiTheme="majorHAnsi" w:cs="TimesNewRomanPSMT"/>
          <w:szCs w:val="22"/>
          <w:lang w:eastAsia="en-US"/>
        </w:rPr>
      </w:pPr>
      <w:r w:rsidRPr="00D40831">
        <w:rPr>
          <w:rFonts w:asciiTheme="majorHAnsi" w:eastAsiaTheme="minorHAnsi" w:hAnsiTheme="majorHAnsi" w:cs="TimesNewRomanPSMT"/>
          <w:szCs w:val="22"/>
          <w:lang w:eastAsia="en-US"/>
        </w:rPr>
        <w:t xml:space="preserve">Par ailleurs, je vous remercie également de me communiquer par écrit la preuve que la domotique présente à mon domicile pourra continuer de fonctionner sans aucune difficulté en présence du CPL dont les radiofréquences de 63,3 KHz et 74 KHz sont prévues en superposition au 50 Hz et que toutes les mesures nécessaires ont été prises pour que ce dernier n’occasionne aucun dommage, ni sur mes appareils ni en matière de santé. </w:t>
      </w:r>
    </w:p>
    <w:p w14:paraId="733A4C61" w14:textId="77777777" w:rsidR="00A54396" w:rsidRPr="00D40831" w:rsidRDefault="00A54396" w:rsidP="00406E46">
      <w:pPr>
        <w:rPr>
          <w:rFonts w:asciiTheme="majorHAnsi" w:hAnsiTheme="majorHAnsi"/>
          <w:szCs w:val="22"/>
        </w:rPr>
      </w:pPr>
    </w:p>
    <w:p w14:paraId="1E9127D7" w14:textId="77777777" w:rsidR="00A54396" w:rsidRPr="00D40831" w:rsidRDefault="00A54396" w:rsidP="00406E46">
      <w:pPr>
        <w:rPr>
          <w:rFonts w:asciiTheme="majorHAnsi" w:hAnsiTheme="majorHAnsi"/>
          <w:szCs w:val="22"/>
        </w:rPr>
      </w:pPr>
      <w:r w:rsidRPr="00D40831">
        <w:rPr>
          <w:rFonts w:asciiTheme="majorHAnsi" w:hAnsiTheme="majorHAnsi"/>
          <w:szCs w:val="22"/>
        </w:rPr>
        <w:t>Comme vous le savez</w:t>
      </w:r>
      <w:r w:rsidR="001D4CBA" w:rsidRPr="00D40831">
        <w:rPr>
          <w:rFonts w:asciiTheme="majorHAnsi" w:hAnsiTheme="majorHAnsi"/>
          <w:szCs w:val="22"/>
        </w:rPr>
        <w:t xml:space="preserve"> par ailleurs</w:t>
      </w:r>
      <w:r w:rsidRPr="00D40831">
        <w:rPr>
          <w:rFonts w:asciiTheme="majorHAnsi" w:hAnsiTheme="majorHAnsi"/>
          <w:szCs w:val="22"/>
        </w:rPr>
        <w:t>, ce compteur communicant a vocation à enregistrer et traiter des données dont j’ai la libre disposition, en vertu de l’article R. 341-5 du code de l’énergie.</w:t>
      </w:r>
      <w:r w:rsidR="001D5478" w:rsidRPr="00D40831">
        <w:rPr>
          <w:rFonts w:asciiTheme="majorHAnsi" w:hAnsiTheme="majorHAnsi"/>
          <w:szCs w:val="22"/>
        </w:rPr>
        <w:t xml:space="preserve"> </w:t>
      </w:r>
      <w:r w:rsidRPr="00D40831">
        <w:rPr>
          <w:rFonts w:asciiTheme="majorHAnsi" w:hAnsiTheme="majorHAnsi"/>
          <w:szCs w:val="22"/>
        </w:rPr>
        <w:t>L’exercice de ce droit suppose que je puisse disposer d’une information exhaustive sur les fonctionnalités de ce compteur, les risques qu’il présente en matière d’atteinte à la vie privée et les droits dont je dispose pour les maîtriser, conformément aux recommandations de la commission nationale de l’informatique et des libertés (CNIL) formulées en la matière.</w:t>
      </w:r>
      <w:r w:rsidR="001D5478" w:rsidRPr="00D40831">
        <w:rPr>
          <w:rFonts w:asciiTheme="majorHAnsi" w:hAnsiTheme="majorHAnsi"/>
          <w:szCs w:val="22"/>
        </w:rPr>
        <w:t xml:space="preserve"> </w:t>
      </w:r>
      <w:r w:rsidRPr="00D40831">
        <w:rPr>
          <w:rFonts w:asciiTheme="majorHAnsi" w:hAnsiTheme="majorHAnsi"/>
          <w:szCs w:val="22"/>
        </w:rPr>
        <w:t>Or, l’installation de ce nouveau compteur comme les modalités d’exercice de mes droits n’apparaissent pas prévues par le contrat de distribution d’électricité qui nous lie, lequel doit nécessairement être amendé et approuvé par mes soins, et ce au moins un mois avant l’application des nouvelles conditions contractuelles, c’est-à-dire au moins un mois avant l’installation du nouveau compteur, conformément aux dispositions de l’article L.224-10 du code de la consommation.</w:t>
      </w:r>
    </w:p>
    <w:p w14:paraId="41B22DA9" w14:textId="77777777" w:rsidR="00A54396" w:rsidRPr="00D40831" w:rsidRDefault="00A54396" w:rsidP="00406E46">
      <w:pPr>
        <w:rPr>
          <w:rFonts w:asciiTheme="majorHAnsi" w:hAnsiTheme="majorHAnsi"/>
          <w:szCs w:val="22"/>
        </w:rPr>
      </w:pPr>
    </w:p>
    <w:p w14:paraId="6B8E7BF7" w14:textId="77777777" w:rsidR="00A54396" w:rsidRPr="00D40831" w:rsidRDefault="00A54396" w:rsidP="00406E46">
      <w:pPr>
        <w:rPr>
          <w:rFonts w:asciiTheme="majorHAnsi" w:hAnsiTheme="majorHAnsi"/>
          <w:szCs w:val="22"/>
        </w:rPr>
      </w:pPr>
      <w:r w:rsidRPr="00D40831">
        <w:rPr>
          <w:rFonts w:asciiTheme="majorHAnsi" w:hAnsiTheme="majorHAnsi"/>
          <w:szCs w:val="22"/>
        </w:rPr>
        <w:t>Aussi, je vous serais reconnaissant de me communiquer, dans un délai de quinze jours :</w:t>
      </w:r>
    </w:p>
    <w:p w14:paraId="5436AF2F" w14:textId="77777777" w:rsidR="00A54396" w:rsidRPr="00D40831" w:rsidRDefault="00A54396" w:rsidP="00406E46">
      <w:pPr>
        <w:rPr>
          <w:rFonts w:asciiTheme="majorHAnsi" w:hAnsiTheme="majorHAnsi"/>
          <w:szCs w:val="22"/>
        </w:rPr>
      </w:pPr>
    </w:p>
    <w:p w14:paraId="50EB9309" w14:textId="77777777" w:rsidR="00A54396" w:rsidRPr="00D40831" w:rsidRDefault="00D07A2E" w:rsidP="00D07A2E">
      <w:pPr>
        <w:ind w:left="142" w:hanging="142"/>
        <w:rPr>
          <w:rFonts w:asciiTheme="majorHAnsi" w:hAnsiTheme="majorHAnsi"/>
          <w:szCs w:val="22"/>
        </w:rPr>
      </w:pPr>
      <w:r w:rsidRPr="00D40831">
        <w:rPr>
          <w:rFonts w:asciiTheme="majorHAnsi" w:hAnsiTheme="majorHAnsi"/>
          <w:szCs w:val="22"/>
        </w:rPr>
        <w:t xml:space="preserve">- </w:t>
      </w:r>
      <w:r w:rsidR="00A54396" w:rsidRPr="00D40831">
        <w:rPr>
          <w:rFonts w:asciiTheme="majorHAnsi" w:hAnsiTheme="majorHAnsi"/>
          <w:szCs w:val="22"/>
        </w:rPr>
        <w:t>une présentation détaillée des fonctionnalités du compteur Linky ;</w:t>
      </w:r>
    </w:p>
    <w:p w14:paraId="7874AEDC" w14:textId="77777777" w:rsidR="00A54396" w:rsidRPr="00D40831" w:rsidRDefault="00D07A2E" w:rsidP="00D07A2E">
      <w:pPr>
        <w:ind w:left="142" w:hanging="142"/>
        <w:rPr>
          <w:rFonts w:asciiTheme="majorHAnsi" w:hAnsiTheme="majorHAnsi"/>
          <w:szCs w:val="22"/>
        </w:rPr>
      </w:pPr>
      <w:r w:rsidRPr="00D40831">
        <w:rPr>
          <w:rFonts w:asciiTheme="majorHAnsi" w:hAnsiTheme="majorHAnsi"/>
          <w:szCs w:val="22"/>
        </w:rPr>
        <w:t xml:space="preserve">- </w:t>
      </w:r>
      <w:r w:rsidR="00A54396" w:rsidRPr="00D40831">
        <w:rPr>
          <w:rFonts w:asciiTheme="majorHAnsi" w:hAnsiTheme="majorHAnsi"/>
          <w:szCs w:val="22"/>
        </w:rPr>
        <w:t>une présentation détaillée des données personnelles susceptibles d’être recueillies par ce compteur ;</w:t>
      </w:r>
    </w:p>
    <w:p w14:paraId="2F653206" w14:textId="77777777" w:rsidR="00A54396" w:rsidRPr="00D40831" w:rsidRDefault="00D07A2E" w:rsidP="00D07A2E">
      <w:pPr>
        <w:ind w:left="142" w:hanging="142"/>
        <w:rPr>
          <w:rFonts w:asciiTheme="majorHAnsi" w:hAnsiTheme="majorHAnsi"/>
          <w:szCs w:val="22"/>
        </w:rPr>
      </w:pPr>
      <w:r w:rsidRPr="00D40831">
        <w:rPr>
          <w:rFonts w:asciiTheme="majorHAnsi" w:hAnsiTheme="majorHAnsi"/>
          <w:szCs w:val="22"/>
        </w:rPr>
        <w:t xml:space="preserve">- </w:t>
      </w:r>
      <w:r w:rsidR="00A54396" w:rsidRPr="00D40831">
        <w:rPr>
          <w:rFonts w:asciiTheme="majorHAnsi" w:hAnsiTheme="majorHAnsi"/>
          <w:szCs w:val="22"/>
        </w:rPr>
        <w:t>l’étude d’impact sur la vie privée préalable à ce déploiement, telle que prévue par la CNIL et dûment notifiée à celle-ci ;</w:t>
      </w:r>
    </w:p>
    <w:p w14:paraId="583CCCA5" w14:textId="77777777" w:rsidR="00A54396" w:rsidRPr="00D40831" w:rsidRDefault="00D07A2E" w:rsidP="00D07A2E">
      <w:pPr>
        <w:ind w:left="142" w:hanging="142"/>
        <w:rPr>
          <w:rFonts w:asciiTheme="majorHAnsi" w:hAnsiTheme="majorHAnsi"/>
          <w:szCs w:val="22"/>
        </w:rPr>
      </w:pPr>
      <w:r w:rsidRPr="00D40831">
        <w:rPr>
          <w:rFonts w:asciiTheme="majorHAnsi" w:hAnsiTheme="majorHAnsi"/>
          <w:szCs w:val="22"/>
        </w:rPr>
        <w:t xml:space="preserve">- </w:t>
      </w:r>
      <w:r w:rsidR="00A54396" w:rsidRPr="00D40831">
        <w:rPr>
          <w:rFonts w:asciiTheme="majorHAnsi" w:hAnsiTheme="majorHAnsi"/>
          <w:szCs w:val="22"/>
        </w:rPr>
        <w:t xml:space="preserve">un projet d’avenant au contrat de distribution d’électricité prévoyant l’installation d’un nouveau compteur et fixant les modalités me permettant d’autoriser ou de refuser l’enregistrement, la </w:t>
      </w:r>
      <w:proofErr w:type="gramStart"/>
      <w:r w:rsidR="00A54396" w:rsidRPr="00D40831">
        <w:rPr>
          <w:rFonts w:asciiTheme="majorHAnsi" w:hAnsiTheme="majorHAnsi"/>
          <w:szCs w:val="22"/>
        </w:rPr>
        <w:t>collecte,  l’utilisation</w:t>
      </w:r>
      <w:proofErr w:type="gramEnd"/>
      <w:r w:rsidR="00A54396" w:rsidRPr="00D40831">
        <w:rPr>
          <w:rFonts w:asciiTheme="majorHAnsi" w:hAnsiTheme="majorHAnsi"/>
          <w:szCs w:val="22"/>
        </w:rPr>
        <w:t xml:space="preserve"> et/ou la transmission à des tiers de mes données personnelles de consommation telles qu’elles sont relevées par ce compteur, et ce dans les conditions préconisées par la CNIL.</w:t>
      </w:r>
    </w:p>
    <w:p w14:paraId="2F83C62F" w14:textId="77777777" w:rsidR="001D5478" w:rsidRPr="00D40831" w:rsidRDefault="001D5478" w:rsidP="00406E46">
      <w:pPr>
        <w:rPr>
          <w:rFonts w:asciiTheme="majorHAnsi" w:eastAsiaTheme="minorHAnsi" w:hAnsiTheme="majorHAnsi" w:cs="TimesNewRomanPSMT"/>
          <w:szCs w:val="22"/>
          <w:lang w:eastAsia="en-US"/>
        </w:rPr>
      </w:pPr>
    </w:p>
    <w:p w14:paraId="6D56D6A8" w14:textId="77777777" w:rsidR="001D4CBA" w:rsidRPr="00D40831" w:rsidRDefault="001D4CBA" w:rsidP="00406E46">
      <w:pPr>
        <w:rPr>
          <w:rFonts w:asciiTheme="majorHAnsi" w:eastAsiaTheme="minorHAnsi" w:hAnsiTheme="majorHAnsi" w:cs="TimesNewRomanPSMT"/>
          <w:szCs w:val="22"/>
          <w:lang w:eastAsia="en-US"/>
        </w:rPr>
      </w:pPr>
      <w:r w:rsidRPr="00D40831">
        <w:rPr>
          <w:rFonts w:asciiTheme="majorHAnsi" w:eastAsiaTheme="minorHAnsi" w:hAnsiTheme="majorHAnsi" w:cs="TimesNewRomanPSMT"/>
          <w:szCs w:val="22"/>
          <w:lang w:eastAsia="en-US"/>
        </w:rPr>
        <w:t>Enfin, il convient que vous m’adressiez une attestation de l’assurance couvrant tous les risques pouvant être causés par les radiofréquences du CPL couplé à un tel compteur.</w:t>
      </w:r>
    </w:p>
    <w:p w14:paraId="3775E637" w14:textId="77777777" w:rsidR="00A54396" w:rsidRPr="00D40831" w:rsidRDefault="00A54396" w:rsidP="00406E46">
      <w:pPr>
        <w:rPr>
          <w:rFonts w:asciiTheme="majorHAnsi" w:hAnsiTheme="majorHAnsi"/>
          <w:szCs w:val="22"/>
        </w:rPr>
      </w:pPr>
    </w:p>
    <w:p w14:paraId="410D9722" w14:textId="77777777" w:rsidR="00A54396" w:rsidRPr="00D40831" w:rsidRDefault="00A54396" w:rsidP="00406E46">
      <w:pPr>
        <w:rPr>
          <w:rFonts w:asciiTheme="majorHAnsi" w:hAnsiTheme="majorHAnsi"/>
          <w:szCs w:val="22"/>
        </w:rPr>
      </w:pPr>
      <w:r w:rsidRPr="00D40831">
        <w:rPr>
          <w:rFonts w:asciiTheme="majorHAnsi" w:hAnsiTheme="majorHAnsi"/>
          <w:szCs w:val="22"/>
        </w:rPr>
        <w:t xml:space="preserve">L’implantation de ce compteur ne pouvant intervenir avant la conclusion de cet avenant, je vous remercie de renoncer à l’installation de ce compteur préalablement à </w:t>
      </w:r>
      <w:r w:rsidR="0069419A" w:rsidRPr="00D40831">
        <w:rPr>
          <w:rFonts w:asciiTheme="majorHAnsi" w:hAnsiTheme="majorHAnsi"/>
          <w:szCs w:val="22"/>
        </w:rPr>
        <w:t>une telle</w:t>
      </w:r>
      <w:r w:rsidRPr="00D40831">
        <w:rPr>
          <w:rFonts w:asciiTheme="majorHAnsi" w:hAnsiTheme="majorHAnsi"/>
          <w:szCs w:val="22"/>
        </w:rPr>
        <w:t xml:space="preserve"> conclusion.</w:t>
      </w:r>
      <w:r w:rsidR="001D5478" w:rsidRPr="00D40831">
        <w:rPr>
          <w:rFonts w:asciiTheme="majorHAnsi" w:hAnsiTheme="majorHAnsi"/>
          <w:szCs w:val="22"/>
        </w:rPr>
        <w:t xml:space="preserve"> </w:t>
      </w:r>
      <w:r w:rsidR="009C2E04" w:rsidRPr="009C2E04">
        <w:rPr>
          <w:rFonts w:asciiTheme="majorHAnsi" w:hAnsiTheme="majorHAnsi"/>
          <w:b/>
          <w:szCs w:val="22"/>
        </w:rPr>
        <w:t>Je vous informe également que je refuse strictement toute utilisation de mes données personnelles quelle qu'en soit la forme.</w:t>
      </w:r>
      <w:r w:rsidR="009C2E04">
        <w:rPr>
          <w:rFonts w:asciiTheme="majorHAnsi" w:hAnsiTheme="majorHAnsi"/>
          <w:szCs w:val="22"/>
        </w:rPr>
        <w:t xml:space="preserve"> </w:t>
      </w:r>
      <w:proofErr w:type="spellStart"/>
      <w:r w:rsidRPr="00D40831">
        <w:rPr>
          <w:rFonts w:asciiTheme="majorHAnsi" w:hAnsiTheme="majorHAnsi"/>
          <w:szCs w:val="22"/>
        </w:rPr>
        <w:t>A</w:t>
      </w:r>
      <w:proofErr w:type="spellEnd"/>
      <w:r w:rsidRPr="00D40831">
        <w:rPr>
          <w:rFonts w:asciiTheme="majorHAnsi" w:hAnsiTheme="majorHAnsi"/>
          <w:szCs w:val="22"/>
        </w:rPr>
        <w:t xml:space="preserve"> défaut, je serais contraint d’engager toutes voies de droit propres à la défense de mes intérêts.</w:t>
      </w:r>
      <w:r w:rsidR="001D5478" w:rsidRPr="00D40831">
        <w:rPr>
          <w:rFonts w:asciiTheme="majorHAnsi" w:hAnsiTheme="majorHAnsi"/>
          <w:szCs w:val="22"/>
        </w:rPr>
        <w:t xml:space="preserve"> </w:t>
      </w:r>
      <w:r w:rsidRPr="00D40831">
        <w:rPr>
          <w:rFonts w:asciiTheme="majorHAnsi" w:hAnsiTheme="majorHAnsi"/>
          <w:szCs w:val="22"/>
        </w:rPr>
        <w:t>Vous devez de ce fait considérer la présente lettre comme valant mise en demeure, avec toutes les conséquences que la loi et les tribunaux accordent à ce type de lettre.</w:t>
      </w:r>
    </w:p>
    <w:p w14:paraId="416BD44F" w14:textId="77777777" w:rsidR="001D5478" w:rsidRPr="00D40831" w:rsidRDefault="001D5478" w:rsidP="00406E46">
      <w:pPr>
        <w:rPr>
          <w:rFonts w:asciiTheme="majorHAnsi" w:hAnsiTheme="majorHAnsi"/>
          <w:szCs w:val="22"/>
        </w:rPr>
      </w:pPr>
    </w:p>
    <w:p w14:paraId="60BCB62F" w14:textId="77777777" w:rsidR="00A54396" w:rsidRPr="00D40831" w:rsidRDefault="00A54396" w:rsidP="00406E46">
      <w:pPr>
        <w:rPr>
          <w:rFonts w:asciiTheme="majorHAnsi" w:hAnsiTheme="majorHAnsi"/>
          <w:szCs w:val="22"/>
        </w:rPr>
      </w:pPr>
      <w:r w:rsidRPr="00D40831">
        <w:rPr>
          <w:rFonts w:asciiTheme="majorHAnsi" w:hAnsiTheme="majorHAnsi"/>
          <w:szCs w:val="22"/>
        </w:rPr>
        <w:t xml:space="preserve">Dans l’attente de vous lire, je vous prie de recevoir, Monsieur le </w:t>
      </w:r>
      <w:r w:rsidR="001D5478" w:rsidRPr="00D40831">
        <w:rPr>
          <w:rFonts w:asciiTheme="majorHAnsi" w:hAnsiTheme="majorHAnsi"/>
          <w:szCs w:val="22"/>
        </w:rPr>
        <w:t>Président</w:t>
      </w:r>
      <w:r w:rsidRPr="00D40831">
        <w:rPr>
          <w:rFonts w:asciiTheme="majorHAnsi" w:hAnsiTheme="majorHAnsi"/>
          <w:szCs w:val="22"/>
        </w:rPr>
        <w:t xml:space="preserve">, l’assurance de ma sincère </w:t>
      </w:r>
      <w:proofErr w:type="gramStart"/>
      <w:r w:rsidRPr="00D40831">
        <w:rPr>
          <w:rFonts w:asciiTheme="majorHAnsi" w:hAnsiTheme="majorHAnsi"/>
          <w:szCs w:val="22"/>
        </w:rPr>
        <w:t>considération</w:t>
      </w:r>
      <w:proofErr w:type="gramEnd"/>
      <w:r w:rsidRPr="00D40831">
        <w:rPr>
          <w:rFonts w:asciiTheme="majorHAnsi" w:hAnsiTheme="majorHAnsi"/>
          <w:szCs w:val="22"/>
        </w:rPr>
        <w:t>.</w:t>
      </w:r>
    </w:p>
    <w:p w14:paraId="42A620F6" w14:textId="77777777" w:rsidR="00A54396" w:rsidRPr="00D40831" w:rsidRDefault="00A54396" w:rsidP="00406E46">
      <w:pPr>
        <w:rPr>
          <w:rFonts w:asciiTheme="majorHAnsi" w:hAnsiTheme="majorHAnsi"/>
          <w:szCs w:val="22"/>
        </w:rPr>
      </w:pPr>
    </w:p>
    <w:p w14:paraId="7A4B48D1" w14:textId="77777777" w:rsidR="00A54396" w:rsidRPr="00D40831" w:rsidRDefault="00A54396" w:rsidP="00406E46">
      <w:pPr>
        <w:rPr>
          <w:rFonts w:asciiTheme="majorHAnsi" w:hAnsiTheme="majorHAnsi"/>
          <w:szCs w:val="22"/>
        </w:rPr>
      </w:pPr>
    </w:p>
    <w:p w14:paraId="353576C2" w14:textId="77777777" w:rsidR="00A54396" w:rsidRPr="00D40831" w:rsidRDefault="00A54396" w:rsidP="00406E46">
      <w:pPr>
        <w:rPr>
          <w:rFonts w:asciiTheme="majorHAnsi" w:hAnsiTheme="majorHAnsi"/>
          <w:szCs w:val="22"/>
        </w:rPr>
      </w:pPr>
    </w:p>
    <w:p w14:paraId="5F19BBA1" w14:textId="77777777" w:rsidR="00CB067C" w:rsidRPr="00575440" w:rsidRDefault="00575440" w:rsidP="00406E46">
      <w:pPr>
        <w:ind w:left="5103"/>
        <w:rPr>
          <w:rFonts w:asciiTheme="majorHAnsi" w:hAnsiTheme="majorHAnsi"/>
          <w:b/>
          <w:i/>
          <w:color w:val="365F91" w:themeColor="accent1" w:themeShade="BF"/>
          <w:szCs w:val="22"/>
        </w:rPr>
      </w:pPr>
      <w:r w:rsidRPr="00575440">
        <w:rPr>
          <w:rFonts w:asciiTheme="majorHAnsi" w:hAnsiTheme="majorHAnsi"/>
          <w:b/>
          <w:i/>
          <w:color w:val="365F91" w:themeColor="accent1" w:themeShade="BF"/>
          <w:szCs w:val="22"/>
        </w:rPr>
        <w:t>Signature</w:t>
      </w:r>
    </w:p>
    <w:sectPr w:rsidR="00CB067C" w:rsidRPr="00575440" w:rsidSect="00CB067C">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FA10E" w14:textId="77777777" w:rsidR="000D0F5B" w:rsidRDefault="000D0F5B" w:rsidP="007A1C8F">
      <w:pPr>
        <w:spacing w:line="240" w:lineRule="auto"/>
      </w:pPr>
      <w:r>
        <w:separator/>
      </w:r>
    </w:p>
  </w:endnote>
  <w:endnote w:type="continuationSeparator" w:id="0">
    <w:p w14:paraId="30A6A290" w14:textId="77777777" w:rsidR="000D0F5B" w:rsidRDefault="000D0F5B" w:rsidP="007A1C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3655"/>
      <w:docPartObj>
        <w:docPartGallery w:val="Page Numbers (Bottom of Page)"/>
        <w:docPartUnique/>
      </w:docPartObj>
    </w:sdtPr>
    <w:sdtEndPr/>
    <w:sdtContent>
      <w:p w14:paraId="486A3CFB" w14:textId="77777777" w:rsidR="007A1C8F" w:rsidRDefault="000D0F5B">
        <w:pPr>
          <w:pStyle w:val="Pieddepage"/>
        </w:pPr>
        <w:r>
          <w:rPr>
            <w:noProof/>
            <w:lang w:eastAsia="zh-TW"/>
          </w:rPr>
          <w:pict w14:anchorId="24BCC7EC">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left:0;text-align:left;margin-left:0;margin-top:664.5pt;width:32.35pt;height:32.4pt;z-index:251660288;mso-top-percent:70;mso-position-horizontal:left;mso-position-horizontal-relative:right-margin-area;mso-position-vertical-relative:bottom-margin-area;mso-top-percent:70" o:allowincell="f" adj="14135" strokecolor="gray [1629]" strokeweight=".25pt">
              <v:textbox style="mso-next-textbox:#_x0000_s2049">
                <w:txbxContent>
                  <w:p w14:paraId="794E7109" w14:textId="77777777" w:rsidR="007A1C8F" w:rsidRPr="00DA1190" w:rsidRDefault="00534963" w:rsidP="007A1C8F">
                    <w:pPr>
                      <w:rPr>
                        <w:rFonts w:asciiTheme="majorHAnsi" w:hAnsiTheme="majorHAnsi"/>
                      </w:rPr>
                    </w:pPr>
                    <w:r w:rsidRPr="00DA1190">
                      <w:rPr>
                        <w:rFonts w:asciiTheme="majorHAnsi" w:hAnsiTheme="majorHAnsi"/>
                      </w:rPr>
                      <w:fldChar w:fldCharType="begin"/>
                    </w:r>
                    <w:r w:rsidR="00751112" w:rsidRPr="00DA1190">
                      <w:rPr>
                        <w:rFonts w:asciiTheme="majorHAnsi" w:hAnsiTheme="majorHAnsi"/>
                      </w:rPr>
                      <w:instrText xml:space="preserve"> PAGE    \* MERGEFORMAT </w:instrText>
                    </w:r>
                    <w:r w:rsidRPr="00DA1190">
                      <w:rPr>
                        <w:rFonts w:asciiTheme="majorHAnsi" w:hAnsiTheme="majorHAnsi"/>
                      </w:rPr>
                      <w:fldChar w:fldCharType="separate"/>
                    </w:r>
                    <w:r w:rsidR="00527CC6">
                      <w:rPr>
                        <w:rFonts w:asciiTheme="majorHAnsi" w:hAnsiTheme="majorHAnsi"/>
                        <w:noProof/>
                      </w:rPr>
                      <w:t>1</w:t>
                    </w:r>
                    <w:r w:rsidRPr="00DA1190">
                      <w:rPr>
                        <w:rFonts w:asciiTheme="majorHAnsi" w:hAnsiTheme="majorHAnsi"/>
                      </w:rPr>
                      <w:fldChar w:fldCharType="end"/>
                    </w:r>
                  </w:p>
                </w:txbxContent>
              </v:textbox>
              <w10:wrap anchorx="page" anchory="page"/>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00F35" w14:textId="77777777" w:rsidR="000D0F5B" w:rsidRDefault="000D0F5B" w:rsidP="007A1C8F">
      <w:pPr>
        <w:spacing w:line="240" w:lineRule="auto"/>
      </w:pPr>
      <w:r>
        <w:separator/>
      </w:r>
    </w:p>
  </w:footnote>
  <w:footnote w:type="continuationSeparator" w:id="0">
    <w:p w14:paraId="62309109" w14:textId="77777777" w:rsidR="000D0F5B" w:rsidRDefault="000D0F5B" w:rsidP="007A1C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D1C"/>
    <w:multiLevelType w:val="hybridMultilevel"/>
    <w:tmpl w:val="21B0C46C"/>
    <w:lvl w:ilvl="0" w:tplc="053AD47E">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54396"/>
    <w:rsid w:val="0001706C"/>
    <w:rsid w:val="000D0F5B"/>
    <w:rsid w:val="00105AA2"/>
    <w:rsid w:val="001A0645"/>
    <w:rsid w:val="001B0D62"/>
    <w:rsid w:val="001B5D5B"/>
    <w:rsid w:val="001D4CBA"/>
    <w:rsid w:val="001D5478"/>
    <w:rsid w:val="0024755F"/>
    <w:rsid w:val="002768F0"/>
    <w:rsid w:val="00396A66"/>
    <w:rsid w:val="003B2BAF"/>
    <w:rsid w:val="00406E46"/>
    <w:rsid w:val="00527CC6"/>
    <w:rsid w:val="00534963"/>
    <w:rsid w:val="0056030B"/>
    <w:rsid w:val="00575440"/>
    <w:rsid w:val="006519CC"/>
    <w:rsid w:val="00653F0F"/>
    <w:rsid w:val="0069419A"/>
    <w:rsid w:val="006B1627"/>
    <w:rsid w:val="006C5E08"/>
    <w:rsid w:val="00751112"/>
    <w:rsid w:val="0079767C"/>
    <w:rsid w:val="007A1C8F"/>
    <w:rsid w:val="009C2E04"/>
    <w:rsid w:val="009D00CE"/>
    <w:rsid w:val="00A54396"/>
    <w:rsid w:val="00B20A50"/>
    <w:rsid w:val="00BE24F4"/>
    <w:rsid w:val="00CB0801"/>
    <w:rsid w:val="00D07A2E"/>
    <w:rsid w:val="00D33DCD"/>
    <w:rsid w:val="00D40831"/>
    <w:rsid w:val="00D82DE0"/>
    <w:rsid w:val="00DA1190"/>
    <w:rsid w:val="00E9095D"/>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D1315E"/>
  <w15:docId w15:val="{CF10E82E-11C4-4E68-BE87-36FDFB9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396"/>
    <w:pPr>
      <w:spacing w:line="320" w:lineRule="exact"/>
      <w:jc w:val="both"/>
    </w:pPr>
    <w:rPr>
      <w:rFonts w:ascii="Arial" w:eastAsia="Times New Roman" w:hAnsi="Arial" w:cs="Times New Roman"/>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4CBA"/>
    <w:pPr>
      <w:ind w:left="720"/>
      <w:contextualSpacing/>
    </w:pPr>
  </w:style>
  <w:style w:type="paragraph" w:styleId="En-tte">
    <w:name w:val="header"/>
    <w:basedOn w:val="Normal"/>
    <w:link w:val="En-tteCar"/>
    <w:uiPriority w:val="99"/>
    <w:semiHidden/>
    <w:unhideWhenUsed/>
    <w:rsid w:val="007A1C8F"/>
    <w:pPr>
      <w:tabs>
        <w:tab w:val="center" w:pos="4536"/>
        <w:tab w:val="right" w:pos="9072"/>
      </w:tabs>
      <w:spacing w:line="240" w:lineRule="auto"/>
    </w:pPr>
  </w:style>
  <w:style w:type="character" w:customStyle="1" w:styleId="En-tteCar">
    <w:name w:val="En-tête Car"/>
    <w:basedOn w:val="Policepardfaut"/>
    <w:link w:val="En-tte"/>
    <w:uiPriority w:val="99"/>
    <w:semiHidden/>
    <w:rsid w:val="007A1C8F"/>
    <w:rPr>
      <w:rFonts w:ascii="Arial" w:eastAsia="Times New Roman" w:hAnsi="Arial" w:cs="Times New Roman"/>
      <w:sz w:val="22"/>
      <w:lang w:eastAsia="fr-FR"/>
    </w:rPr>
  </w:style>
  <w:style w:type="paragraph" w:styleId="Pieddepage">
    <w:name w:val="footer"/>
    <w:basedOn w:val="Normal"/>
    <w:link w:val="PieddepageCar"/>
    <w:uiPriority w:val="99"/>
    <w:semiHidden/>
    <w:unhideWhenUsed/>
    <w:rsid w:val="007A1C8F"/>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7A1C8F"/>
    <w:rPr>
      <w:rFonts w:ascii="Arial" w:eastAsia="Times New Roman" w:hAnsi="Arial" w:cs="Times New Roman"/>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780</Words>
  <Characters>4293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Cabinet d'avocat</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Blanche MAGARINOS-REY</dc:creator>
  <cp:lastModifiedBy>JiPeLeg</cp:lastModifiedBy>
  <cp:revision>5</cp:revision>
  <cp:lastPrinted>2017-04-11T14:15:00Z</cp:lastPrinted>
  <dcterms:created xsi:type="dcterms:W3CDTF">2017-05-15T17:32:00Z</dcterms:created>
  <dcterms:modified xsi:type="dcterms:W3CDTF">2020-02-11T18:33:00Z</dcterms:modified>
</cp:coreProperties>
</file>